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A" w:rsidRDefault="00FC44E4" w:rsidP="00FC44E4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Té de roca (</w:t>
      </w:r>
      <w:proofErr w:type="spellStart"/>
      <w:r w:rsidRPr="00E51CF8">
        <w:rPr>
          <w:rFonts w:ascii="Comic Sans MS" w:hAnsi="Comic Sans MS"/>
          <w:i/>
        </w:rPr>
        <w:t>Jasonia</w:t>
      </w:r>
      <w:proofErr w:type="spellEnd"/>
      <w:r w:rsidRPr="00E51CF8">
        <w:rPr>
          <w:rFonts w:ascii="Comic Sans MS" w:hAnsi="Comic Sans MS"/>
          <w:i/>
        </w:rPr>
        <w:t xml:space="preserve"> glutinosa</w:t>
      </w:r>
      <w:r>
        <w:rPr>
          <w:rFonts w:ascii="Comic Sans MS" w:hAnsi="Comic Sans MS"/>
          <w:b/>
          <w:i/>
        </w:rPr>
        <w:t>)</w:t>
      </w:r>
      <w:r>
        <w:rPr>
          <w:rFonts w:ascii="Comic Sans MS" w:hAnsi="Comic Sans MS"/>
          <w:b/>
        </w:rPr>
        <w:t xml:space="preserve"> </w:t>
      </w:r>
      <w:r w:rsidRPr="00FC44E4">
        <w:rPr>
          <w:rFonts w:ascii="Comic Sans MS" w:hAnsi="Comic Sans MS"/>
        </w:rPr>
        <w:t xml:space="preserve">también conocido como </w:t>
      </w:r>
      <w:r w:rsidRPr="00E51CF8">
        <w:rPr>
          <w:rFonts w:ascii="Comic Sans MS" w:hAnsi="Comic Sans MS"/>
          <w:b/>
        </w:rPr>
        <w:t>té de Aragón</w:t>
      </w:r>
      <w:r w:rsidR="00E51CF8">
        <w:rPr>
          <w:rFonts w:ascii="Comic Sans MS" w:hAnsi="Comic Sans MS"/>
        </w:rPr>
        <w:t xml:space="preserve">, </w:t>
      </w:r>
      <w:r w:rsidR="00E51CF8" w:rsidRPr="00E51CF8">
        <w:rPr>
          <w:rFonts w:ascii="Comic Sans MS" w:hAnsi="Comic Sans MS"/>
          <w:b/>
        </w:rPr>
        <w:t>té de peña</w:t>
      </w:r>
      <w:r w:rsidR="00E51CF8">
        <w:rPr>
          <w:rFonts w:ascii="Comic Sans MS" w:hAnsi="Comic Sans MS"/>
        </w:rPr>
        <w:t xml:space="preserve">, </w:t>
      </w:r>
      <w:r w:rsidR="00E51CF8" w:rsidRPr="00E51CF8">
        <w:rPr>
          <w:rFonts w:ascii="Comic Sans MS" w:hAnsi="Comic Sans MS"/>
          <w:b/>
        </w:rPr>
        <w:t>té de monte</w:t>
      </w:r>
      <w:r w:rsidRPr="00FC44E4">
        <w:rPr>
          <w:rFonts w:ascii="Comic Sans MS" w:hAnsi="Comic Sans MS"/>
        </w:rPr>
        <w:t xml:space="preserve"> o, simplemente, </w:t>
      </w:r>
      <w:r w:rsidRPr="00BB7E50">
        <w:rPr>
          <w:rFonts w:ascii="Comic Sans MS" w:hAnsi="Comic Sans MS"/>
          <w:b/>
        </w:rPr>
        <w:t>té</w:t>
      </w:r>
      <w:r>
        <w:rPr>
          <w:rFonts w:ascii="Comic Sans MS" w:hAnsi="Comic Sans MS"/>
        </w:rPr>
        <w:t xml:space="preserve"> forma una robusta cepa leñosa que se va desarrollando de año en año sin estirarse; al llegar la primavera de la cepa se </w:t>
      </w:r>
      <w:proofErr w:type="gramStart"/>
      <w:r>
        <w:rPr>
          <w:rFonts w:ascii="Comic Sans MS" w:hAnsi="Comic Sans MS"/>
        </w:rPr>
        <w:t>forman</w:t>
      </w:r>
      <w:proofErr w:type="gramEnd"/>
      <w:r>
        <w:rPr>
          <w:rFonts w:ascii="Comic Sans MS" w:hAnsi="Comic Sans MS"/>
        </w:rPr>
        <w:t xml:space="preserve"> los renuevos. Los tallos</w:t>
      </w:r>
      <w:r w:rsidR="004D5180">
        <w:rPr>
          <w:rFonts w:ascii="Comic Sans MS" w:hAnsi="Comic Sans MS"/>
        </w:rPr>
        <w:t xml:space="preserve"> rojizos</w:t>
      </w:r>
      <w:r>
        <w:rPr>
          <w:rFonts w:ascii="Comic Sans MS" w:hAnsi="Comic Sans MS"/>
        </w:rPr>
        <w:t xml:space="preserve"> están cubiertos de tres clases de vello de diferente longitud que se distinguen sólo con una buena lente; las hojas son lanceoladas y sin rabillo y están cubiertas de pelitos parecidos a los del tallo.</w:t>
      </w:r>
    </w:p>
    <w:p w:rsidR="00E51CF8" w:rsidRDefault="00FC44E4" w:rsidP="00FC44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En el extremo de los vástagos nacen una o más cabezuelas rodeadas de hojuelas glandulosas </w:t>
      </w:r>
      <w:r w:rsidR="007B6B4B">
        <w:rPr>
          <w:rFonts w:ascii="Comic Sans MS" w:hAnsi="Comic Sans MS"/>
        </w:rPr>
        <w:t xml:space="preserve"> con florecitas amarillas muy pequeñas. Las hojas de la planta son muy aromáticas y de sabor un poco amargo</w:t>
      </w:r>
      <w:r w:rsidR="00355153">
        <w:rPr>
          <w:rFonts w:ascii="Comic Sans MS" w:hAnsi="Comic Sans MS"/>
        </w:rPr>
        <w:t>.</w:t>
      </w:r>
    </w:p>
    <w:p w:rsidR="00355153" w:rsidRDefault="00355153" w:rsidP="00FC44E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pesar de llamarse “té” no tiene ninguna relación con esa planta, ni botánicamente ni en sus propiedades</w:t>
      </w:r>
    </w:p>
    <w:p w:rsidR="00E51CF8" w:rsidRPr="00CF2396" w:rsidRDefault="00CF2396" w:rsidP="00CF239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es-ES"/>
        </w:rPr>
      </w:pPr>
      <w:r>
        <w:rPr>
          <w:rFonts w:ascii="inherit" w:eastAsia="Times New Roman" w:hAnsi="inherit" w:cs="Times New Roman"/>
          <w:color w:val="333333"/>
          <w:sz w:val="21"/>
          <w:szCs w:val="21"/>
          <w:lang w:eastAsia="es-ES"/>
        </w:rPr>
        <w:t xml:space="preserve">                                       </w:t>
      </w:r>
      <w:r>
        <w:rPr>
          <w:rFonts w:ascii="inherit" w:eastAsia="Times New Roman" w:hAnsi="inherit" w:cs="Times New Roman"/>
          <w:noProof/>
          <w:color w:val="333333"/>
          <w:sz w:val="21"/>
          <w:szCs w:val="21"/>
          <w:lang w:eastAsia="es-ES"/>
        </w:rPr>
        <w:drawing>
          <wp:inline distT="0" distB="0" distL="0" distR="0">
            <wp:extent cx="2857500" cy="1905000"/>
            <wp:effectExtent l="19050" t="0" r="0" b="0"/>
            <wp:docPr id="3" name="Imagen 3" descr="Propiedades del Té de R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iedades del Té de Ro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</w:tblGrid>
      <w:tr w:rsidR="00E51CF8" w:rsidRPr="00E51CF8" w:rsidTr="00E51CF8">
        <w:trPr>
          <w:tblCellSpacing w:w="0" w:type="dxa"/>
          <w:jc w:val="center"/>
        </w:trPr>
        <w:tc>
          <w:tcPr>
            <w:tcW w:w="0" w:type="auto"/>
            <w:shd w:val="clear" w:color="auto" w:fill="1C1C1C"/>
            <w:vAlign w:val="center"/>
            <w:hideMark/>
          </w:tcPr>
          <w:p w:rsidR="00E51CF8" w:rsidRPr="00E51CF8" w:rsidRDefault="00E51CF8" w:rsidP="00E51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CCCC"/>
                <w:lang w:eastAsia="es-ES"/>
              </w:rPr>
            </w:pPr>
          </w:p>
        </w:tc>
      </w:tr>
    </w:tbl>
    <w:p w:rsidR="00161CC4" w:rsidRDefault="00161CC4" w:rsidP="00FC44E4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Florece</w:t>
      </w:r>
      <w:r>
        <w:rPr>
          <w:rFonts w:ascii="Comic Sans MS" w:hAnsi="Comic Sans MS"/>
        </w:rPr>
        <w:t xml:space="preserve"> desde junio hasta agosto, según la altur</w:t>
      </w:r>
      <w:r w:rsidR="00CF2396">
        <w:rPr>
          <w:rFonts w:ascii="Comic Sans MS" w:hAnsi="Comic Sans MS"/>
        </w:rPr>
        <w:t>a a la que se halla y se recolectan sólo las flores</w:t>
      </w:r>
      <w:r w:rsidR="00355153">
        <w:rPr>
          <w:rFonts w:ascii="Comic Sans MS" w:hAnsi="Comic Sans MS"/>
        </w:rPr>
        <w:t xml:space="preserve"> cuando aun no están muy abiertas.</w:t>
      </w:r>
    </w:p>
    <w:p w:rsidR="00CF2396" w:rsidRDefault="00161CC4" w:rsidP="00CF239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Se cría</w:t>
      </w:r>
      <w:r>
        <w:rPr>
          <w:rFonts w:ascii="Comic Sans MS" w:hAnsi="Comic Sans MS"/>
        </w:rPr>
        <w:t xml:space="preserve"> en las grietas de las peñas calcáreas a lo largo del Pirineo hasta el valle del Roncal, en las montañas de la mayor parte de Cataluña, Aragón, Navarra y Castilla la Vieja y por Valencia y Castilla la Nueva hasta las sierras de Andalucía.</w:t>
      </w:r>
    </w:p>
    <w:p w:rsidR="00CF2396" w:rsidRDefault="00CF2396" w:rsidP="00CF2396">
      <w:pPr>
        <w:jc w:val="both"/>
        <w:rPr>
          <w:rFonts w:ascii="Comic Sans MS" w:hAnsi="Comic Sans MS"/>
          <w:b/>
        </w:rPr>
      </w:pPr>
      <w:r w:rsidRPr="00CF2396">
        <w:rPr>
          <w:rFonts w:ascii="Comic Sans MS" w:hAnsi="Comic Sans MS"/>
          <w:b/>
        </w:rPr>
        <w:t>Virtudes</w:t>
      </w:r>
      <w:r>
        <w:rPr>
          <w:rFonts w:ascii="Comic Sans MS" w:hAnsi="Comic Sans MS"/>
          <w:b/>
        </w:rPr>
        <w:t>:</w:t>
      </w:r>
    </w:p>
    <w:p w:rsidR="00F024A8" w:rsidRPr="00F024A8" w:rsidRDefault="00F024A8" w:rsidP="00F024A8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Es un tónico amargo que facilita las digestiones, colaborando con la función hepática y estimulando las secreciones digestivas.</w:t>
      </w:r>
    </w:p>
    <w:p w:rsidR="00F024A8" w:rsidRPr="00F024A8" w:rsidRDefault="00F024A8" w:rsidP="00F024A8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Aperitivo (abre el apetito).</w:t>
      </w:r>
    </w:p>
    <w:p w:rsidR="00F024A8" w:rsidRPr="00F024A8" w:rsidRDefault="00F024A8" w:rsidP="00F024A8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Carminativo (reduce los gases intestinales).</w:t>
      </w:r>
    </w:p>
    <w:p w:rsidR="00F024A8" w:rsidRPr="00F024A8" w:rsidRDefault="00F024A8" w:rsidP="00F024A8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Anti-espasmódico, ayuda a disminuir y controlar los espasmos abdominales, ya sean intestinales o cólicos menstruales.</w:t>
      </w:r>
    </w:p>
    <w:p w:rsidR="00F024A8" w:rsidRPr="00F024A8" w:rsidRDefault="00F024A8" w:rsidP="00F024A8">
      <w:pPr>
        <w:shd w:val="clear" w:color="auto" w:fill="FFFFFF"/>
        <w:spacing w:before="120" w:after="240" w:line="240" w:lineRule="auto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Si lo utilizamos en fresco sus aceites esenciales están más activos y puede ser un buenos anticatarral y antiséptico, ya sea de vías respiratorias o localmente en la piel, heridas o infecciones fúngicas leves.</w:t>
      </w:r>
    </w:p>
    <w:p w:rsidR="00F024A8" w:rsidRPr="00F024A8" w:rsidRDefault="00F024A8" w:rsidP="00F024A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b/>
          <w:bCs/>
          <w:color w:val="333333"/>
          <w:lang w:eastAsia="es-ES"/>
        </w:rPr>
        <w:t>Uso externo</w:t>
      </w:r>
    </w:p>
    <w:p w:rsidR="00F024A8" w:rsidRPr="00F024A8" w:rsidRDefault="00F024A8" w:rsidP="00F024A8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lastRenderedPageBreak/>
        <w:t>Para limpiar heridas.</w:t>
      </w:r>
    </w:p>
    <w:p w:rsidR="00F024A8" w:rsidRPr="00F024A8" w:rsidRDefault="00F024A8" w:rsidP="00F024A8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Lavados Vaginales</w:t>
      </w:r>
    </w:p>
    <w:p w:rsidR="00F024A8" w:rsidRPr="00F024A8" w:rsidRDefault="00F024A8" w:rsidP="00F024A8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Gárgaras en caso de faringitis o amigdalitis.</w:t>
      </w:r>
    </w:p>
    <w:p w:rsidR="00F024A8" w:rsidRPr="00F024A8" w:rsidRDefault="00F024A8" w:rsidP="00F024A8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b/>
          <w:bCs/>
          <w:color w:val="333333"/>
          <w:lang w:eastAsia="es-ES"/>
        </w:rPr>
        <w:t>Uso interno del Té de Roca</w:t>
      </w:r>
    </w:p>
    <w:p w:rsidR="00F024A8" w:rsidRPr="00F024A8" w:rsidRDefault="00F024A8" w:rsidP="00F024A8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Digestiones pesadas.</w:t>
      </w:r>
    </w:p>
    <w:p w:rsidR="00F024A8" w:rsidRPr="00F024A8" w:rsidRDefault="00F024A8" w:rsidP="00F024A8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Flatulencia.</w:t>
      </w:r>
    </w:p>
    <w:p w:rsidR="00F024A8" w:rsidRPr="00F024A8" w:rsidRDefault="00F024A8" w:rsidP="00F024A8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Dolor abdominal con causa digestiva.</w:t>
      </w:r>
    </w:p>
    <w:p w:rsidR="00F024A8" w:rsidRPr="00F024A8" w:rsidRDefault="00F024A8" w:rsidP="00F024A8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Dolor de cabeza con espasmos y con causa digestiva.</w:t>
      </w:r>
    </w:p>
    <w:p w:rsidR="00F024A8" w:rsidRPr="00F024A8" w:rsidRDefault="00F024A8" w:rsidP="00F024A8">
      <w:pPr>
        <w:numPr>
          <w:ilvl w:val="0"/>
          <w:numId w:val="4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Cólicos menstruales.</w:t>
      </w:r>
    </w:p>
    <w:p w:rsidR="00F024A8" w:rsidRPr="00F024A8" w:rsidRDefault="00F024A8" w:rsidP="00F024A8">
      <w:pPr>
        <w:shd w:val="clear" w:color="auto" w:fill="FFFFFF"/>
        <w:spacing w:before="120" w:after="240" w:line="240" w:lineRule="auto"/>
        <w:textAlignment w:val="baseline"/>
        <w:rPr>
          <w:rFonts w:ascii="Comic Sans MS" w:eastAsia="Times New Roman" w:hAnsi="Comic Sans MS" w:cs="Times New Roman"/>
          <w:color w:val="333333"/>
          <w:lang w:eastAsia="es-ES"/>
        </w:rPr>
      </w:pPr>
      <w:r w:rsidRPr="00F024A8">
        <w:rPr>
          <w:rFonts w:ascii="Comic Sans MS" w:eastAsia="Times New Roman" w:hAnsi="Comic Sans MS" w:cs="Times New Roman"/>
          <w:color w:val="333333"/>
          <w:lang w:eastAsia="es-ES"/>
        </w:rPr>
        <w:t>Se ha usado popularmente como un sedante ligero y para ayudar a bajar la tensión</w:t>
      </w:r>
    </w:p>
    <w:p w:rsidR="00CF2396" w:rsidRDefault="00F024A8" w:rsidP="00CF2396">
      <w:pPr>
        <w:jc w:val="both"/>
        <w:rPr>
          <w:rFonts w:ascii="Comic Sans MS" w:hAnsi="Comic Sans MS"/>
        </w:rPr>
      </w:pPr>
      <w:r w:rsidRPr="00F024A8">
        <w:rPr>
          <w:rFonts w:ascii="Comic Sans MS" w:hAnsi="Comic Sans MS"/>
          <w:b/>
        </w:rPr>
        <w:t>Recolección</w:t>
      </w:r>
      <w:r>
        <w:rPr>
          <w:rFonts w:ascii="Comic Sans MS" w:hAnsi="Comic Sans MS"/>
        </w:rPr>
        <w:t>:</w:t>
      </w:r>
      <w:r w:rsidR="005C4D7F">
        <w:rPr>
          <w:rFonts w:ascii="Comic Sans MS" w:hAnsi="Comic Sans MS"/>
        </w:rPr>
        <w:t xml:space="preserve"> es mejor cortarla antes de que se abran las flores y esto varía según la localidad en que se cría y conviene cortar solo las flores y no cortar el resto de la planta. </w:t>
      </w:r>
    </w:p>
    <w:p w:rsidR="00E51CF8" w:rsidRPr="00E51CF8" w:rsidRDefault="00E51CF8" w:rsidP="00CF2396">
      <w:pPr>
        <w:jc w:val="both"/>
        <w:rPr>
          <w:rFonts w:ascii="Comic Sans MS" w:hAnsi="Comic Sans MS"/>
          <w:color w:val="222222"/>
        </w:rPr>
      </w:pPr>
      <w:r w:rsidRPr="00E51CF8">
        <w:rPr>
          <w:rFonts w:ascii="Comic Sans MS" w:hAnsi="Comic Sans MS"/>
          <w:color w:val="222222"/>
        </w:rPr>
        <w:t>Para preparar una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infusión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Fonts w:ascii="Comic Sans MS" w:hAnsi="Comic Sans MS"/>
          <w:color w:val="222222"/>
        </w:rPr>
        <w:t>a base de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té de roca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Fonts w:ascii="Comic Sans MS" w:hAnsi="Comic Sans MS"/>
          <w:color w:val="222222"/>
        </w:rPr>
        <w:t>hay que utilizar 20 gr. de esta planta por cada taza de agua. Se lleva la mezc</w:t>
      </w:r>
      <w:r w:rsidR="00355153">
        <w:rPr>
          <w:rFonts w:ascii="Comic Sans MS" w:hAnsi="Comic Sans MS"/>
          <w:color w:val="222222"/>
        </w:rPr>
        <w:t>la a hervor y se deja reposar</w:t>
      </w:r>
      <w:r w:rsidRPr="00E51CF8">
        <w:rPr>
          <w:rFonts w:ascii="Comic Sans MS" w:hAnsi="Comic Sans MS"/>
          <w:color w:val="222222"/>
        </w:rPr>
        <w:t xml:space="preserve"> por unos 15 minutos. Esta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infusión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Fonts w:ascii="Comic Sans MS" w:hAnsi="Comic Sans MS"/>
          <w:color w:val="222222"/>
        </w:rPr>
        <w:t>tiene efecto anti-diarreico,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anti-inflamatorio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Fonts w:ascii="Comic Sans MS" w:hAnsi="Comic Sans MS"/>
          <w:color w:val="222222"/>
        </w:rPr>
        <w:t>e hipotensor. El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té de roca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Fonts w:ascii="Comic Sans MS" w:hAnsi="Comic Sans MS"/>
          <w:color w:val="222222"/>
        </w:rPr>
        <w:t>también tiene usos externos. Se utiliza para lavar heridas, detener hemorragias y disminuir la inflamación en golpes. Hay que combinar</w:t>
      </w:r>
      <w:r w:rsidRPr="00E51CF8">
        <w:rPr>
          <w:rStyle w:val="apple-converted-space"/>
          <w:rFonts w:ascii="Comic Sans MS" w:hAnsi="Comic Sans MS"/>
          <w:color w:val="222222"/>
        </w:rPr>
        <w:t> </w:t>
      </w:r>
      <w:r w:rsidRPr="00E51CF8">
        <w:rPr>
          <w:rStyle w:val="Textoennegrita"/>
          <w:rFonts w:ascii="Comic Sans MS" w:hAnsi="Comic Sans MS"/>
          <w:color w:val="222222"/>
          <w:bdr w:val="none" w:sz="0" w:space="0" w:color="auto" w:frame="1"/>
        </w:rPr>
        <w:t>té de roca</w:t>
      </w:r>
      <w:r w:rsidRPr="00E51CF8">
        <w:rPr>
          <w:rFonts w:ascii="Comic Sans MS" w:hAnsi="Comic Sans MS"/>
          <w:color w:val="222222"/>
        </w:rPr>
        <w:t>, con tomillo, rabo de gato y caléndula. Mezclar una cucharada de esta preparación por cada taza de agua. Hervir cinco minutos, colar y aplicar sobre la zona afectada tres veces al día.</w:t>
      </w:r>
    </w:p>
    <w:p w:rsidR="00E51CF8" w:rsidRPr="00355153" w:rsidRDefault="00355153" w:rsidP="00E51CF8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Comic Sans MS" w:hAnsi="Comic Sans MS"/>
          <w:color w:val="222222"/>
          <w:sz w:val="23"/>
          <w:szCs w:val="23"/>
        </w:rPr>
      </w:pPr>
      <w:r w:rsidRPr="00355153">
        <w:rPr>
          <w:rFonts w:ascii="Comic Sans MS" w:hAnsi="Comic Sans MS"/>
          <w:b/>
          <w:color w:val="222222"/>
          <w:sz w:val="23"/>
          <w:szCs w:val="23"/>
        </w:rPr>
        <w:t xml:space="preserve">Historia: </w:t>
      </w:r>
      <w:r w:rsidRPr="00355153">
        <w:rPr>
          <w:rFonts w:ascii="Comic Sans MS" w:hAnsi="Comic Sans MS"/>
          <w:color w:val="222222"/>
          <w:sz w:val="23"/>
          <w:szCs w:val="23"/>
        </w:rPr>
        <w:t>esta planta no aparece en los tratados de Farmacología antiguos  por estar su territorio</w:t>
      </w:r>
      <w:r w:rsidR="00BB7E50">
        <w:rPr>
          <w:rFonts w:ascii="Comic Sans MS" w:hAnsi="Comic Sans MS"/>
          <w:color w:val="222222"/>
          <w:sz w:val="23"/>
          <w:szCs w:val="23"/>
        </w:rPr>
        <w:t xml:space="preserve"> limitado</w:t>
      </w:r>
      <w:r w:rsidRPr="00355153">
        <w:rPr>
          <w:rFonts w:ascii="Comic Sans MS" w:hAnsi="Comic Sans MS"/>
          <w:color w:val="222222"/>
          <w:sz w:val="23"/>
          <w:szCs w:val="23"/>
        </w:rPr>
        <w:t xml:space="preserve"> a los países occidentales del Mediterráneo, hasta la Provenza, como límite oriental, parece que no llegaron a conocerla</w:t>
      </w:r>
      <w:r w:rsidR="00E51CF8" w:rsidRPr="00355153">
        <w:rPr>
          <w:rFonts w:ascii="Comic Sans MS" w:hAnsi="Comic Sans MS"/>
          <w:color w:val="222222"/>
          <w:sz w:val="23"/>
          <w:szCs w:val="23"/>
        </w:rPr>
        <w:t> </w:t>
      </w:r>
    </w:p>
    <w:p w:rsidR="00E51CF8" w:rsidRPr="00355153" w:rsidRDefault="00E51CF8" w:rsidP="00FC44E4">
      <w:pPr>
        <w:jc w:val="both"/>
        <w:rPr>
          <w:rFonts w:ascii="Comic Sans MS" w:hAnsi="Comic Sans MS"/>
        </w:rPr>
      </w:pPr>
    </w:p>
    <w:sectPr w:rsidR="00E51CF8" w:rsidRPr="00355153" w:rsidSect="00912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B9" w:rsidRDefault="003145B9" w:rsidP="00E51CF8">
      <w:pPr>
        <w:spacing w:after="0" w:line="240" w:lineRule="auto"/>
      </w:pPr>
      <w:r>
        <w:separator/>
      </w:r>
    </w:p>
  </w:endnote>
  <w:endnote w:type="continuationSeparator" w:id="0">
    <w:p w:rsidR="003145B9" w:rsidRDefault="003145B9" w:rsidP="00E5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B9" w:rsidRDefault="003145B9" w:rsidP="00E51CF8">
      <w:pPr>
        <w:spacing w:after="0" w:line="240" w:lineRule="auto"/>
      </w:pPr>
      <w:r>
        <w:separator/>
      </w:r>
    </w:p>
  </w:footnote>
  <w:footnote w:type="continuationSeparator" w:id="0">
    <w:p w:rsidR="003145B9" w:rsidRDefault="003145B9" w:rsidP="00E5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A01"/>
    <w:multiLevelType w:val="multilevel"/>
    <w:tmpl w:val="A29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FB400C"/>
    <w:multiLevelType w:val="multilevel"/>
    <w:tmpl w:val="796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5F6175"/>
    <w:multiLevelType w:val="hybridMultilevel"/>
    <w:tmpl w:val="E47E3BEC"/>
    <w:lvl w:ilvl="0" w:tplc="92CAC88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E06F7"/>
    <w:multiLevelType w:val="multilevel"/>
    <w:tmpl w:val="DB6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4E4"/>
    <w:rsid w:val="00161CC4"/>
    <w:rsid w:val="003145B9"/>
    <w:rsid w:val="00355153"/>
    <w:rsid w:val="004D5180"/>
    <w:rsid w:val="005214B8"/>
    <w:rsid w:val="005C4D7F"/>
    <w:rsid w:val="007B6B4B"/>
    <w:rsid w:val="0091208A"/>
    <w:rsid w:val="00BB7E50"/>
    <w:rsid w:val="00CF2396"/>
    <w:rsid w:val="00E51CF8"/>
    <w:rsid w:val="00F024A8"/>
    <w:rsid w:val="00FC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8A"/>
  </w:style>
  <w:style w:type="paragraph" w:styleId="Ttulo2">
    <w:name w:val="heading 2"/>
    <w:basedOn w:val="Normal"/>
    <w:link w:val="Ttulo2Car"/>
    <w:uiPriority w:val="9"/>
    <w:qFormat/>
    <w:rsid w:val="00F02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C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1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CF8"/>
  </w:style>
  <w:style w:type="paragraph" w:styleId="Piedepgina">
    <w:name w:val="footer"/>
    <w:basedOn w:val="Normal"/>
    <w:link w:val="PiedepginaCar"/>
    <w:uiPriority w:val="99"/>
    <w:semiHidden/>
    <w:unhideWhenUsed/>
    <w:rsid w:val="00E51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CF8"/>
  </w:style>
  <w:style w:type="paragraph" w:styleId="NormalWeb">
    <w:name w:val="Normal (Web)"/>
    <w:basedOn w:val="Normal"/>
    <w:uiPriority w:val="99"/>
    <w:semiHidden/>
    <w:unhideWhenUsed/>
    <w:rsid w:val="00E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51CF8"/>
  </w:style>
  <w:style w:type="character" w:styleId="Textoennegrita">
    <w:name w:val="Strong"/>
    <w:basedOn w:val="Fuentedeprrafopredeter"/>
    <w:uiPriority w:val="22"/>
    <w:qFormat/>
    <w:rsid w:val="00E51CF8"/>
    <w:rPr>
      <w:b/>
      <w:bCs/>
    </w:rPr>
  </w:style>
  <w:style w:type="paragraph" w:styleId="Prrafodelista">
    <w:name w:val="List Paragraph"/>
    <w:basedOn w:val="Normal"/>
    <w:uiPriority w:val="34"/>
    <w:qFormat/>
    <w:rsid w:val="00CF239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024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8299">
                  <w:marLeft w:val="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59">
                  <w:marLeft w:val="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2017-04-26T21:39:00Z</dcterms:created>
  <dcterms:modified xsi:type="dcterms:W3CDTF">2017-04-26T22:51:00Z</dcterms:modified>
</cp:coreProperties>
</file>